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12708" w:rsidRPr="00C01509" w:rsidRDefault="00512708" w:rsidP="00512708">
      <w:pPr>
        <w:jc w:val="center"/>
        <w:rPr>
          <w:rFonts w:ascii="Times New Roman" w:hAnsi="Times New Roman" w:cs="Times New Roman"/>
          <w:sz w:val="32"/>
          <w:szCs w:val="32"/>
        </w:rPr>
      </w:pPr>
      <w:r w:rsidRPr="00C01509">
        <w:rPr>
          <w:rFonts w:ascii="Times New Roman" w:hAnsi="Times New Roman" w:cs="Times New Roman"/>
          <w:sz w:val="32"/>
          <w:szCs w:val="32"/>
        </w:rPr>
        <w:t>ООО НПП «Учтех-Профи»</w:t>
      </w: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512708" w:rsidRPr="00C01509" w:rsidRDefault="00512708" w:rsidP="00512708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512708" w:rsidRPr="00C01509" w:rsidRDefault="00512708" w:rsidP="00512708">
      <w:pPr>
        <w:jc w:val="center"/>
        <w:rPr>
          <w:rFonts w:ascii="Times New Roman" w:hAnsi="Times New Roman" w:cs="Times New Roman"/>
          <w:sz w:val="40"/>
          <w:szCs w:val="40"/>
        </w:rPr>
      </w:pPr>
      <w:r w:rsidRPr="00C01509">
        <w:rPr>
          <w:rFonts w:ascii="Times New Roman" w:hAnsi="Times New Roman" w:cs="Times New Roman"/>
          <w:sz w:val="40"/>
          <w:szCs w:val="40"/>
        </w:rPr>
        <w:t>Руководство по установке прикладного программного обеспечения</w:t>
      </w: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Челябинск 2022</w:t>
      </w:r>
    </w:p>
    <w:p w:rsidR="00512708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lastRenderedPageBreak/>
        <w:t>Назначение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601D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Данное руководство предназначено для установки прикладного программного обеспечения (ППО) </w:t>
      </w:r>
      <w:r w:rsidR="00601D4C" w:rsidRPr="00601D4C">
        <w:rPr>
          <w:rFonts w:ascii="Times New Roman" w:hAnsi="Times New Roman" w:cs="Times New Roman"/>
          <w:sz w:val="28"/>
          <w:szCs w:val="28"/>
        </w:rPr>
        <w:t>Автоматизированное место оператора-наладчика  станков с ЧПУ и станочных систем (АМ)</w:t>
      </w:r>
      <w:r w:rsidR="00601D4C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Установка ППО как программного симулятора стоек с ЧПУ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случае если ППО используется без станка, т. е. в качестве программного симулятора стоек с ЧПУ, последовательность действий для установки ППО будет в соответствии с представленной ниже.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Установка ППО для </w:t>
      </w:r>
      <w:r w:rsidRPr="00251140">
        <w:rPr>
          <w:rFonts w:ascii="Times New Roman" w:hAnsi="Times New Roman" w:cs="Times New Roman"/>
          <w:sz w:val="28"/>
          <w:szCs w:val="28"/>
          <w:highlight w:val="green"/>
        </w:rPr>
        <w:t>фрезерной обработки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1. Установить цифровой носитель,</w:t>
      </w:r>
      <w:r>
        <w:rPr>
          <w:rFonts w:ascii="Times New Roman" w:hAnsi="Times New Roman" w:cs="Times New Roman"/>
          <w:sz w:val="28"/>
          <w:szCs w:val="28"/>
        </w:rPr>
        <w:t xml:space="preserve"> на котором записан программный симулятор стоек с ЧПУ</w:t>
      </w:r>
      <w:r w:rsidRPr="00C01509">
        <w:rPr>
          <w:rFonts w:ascii="Times New Roman" w:hAnsi="Times New Roman" w:cs="Times New Roman"/>
          <w:sz w:val="28"/>
          <w:szCs w:val="28"/>
        </w:rPr>
        <w:t xml:space="preserve">, в 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USB</w:t>
      </w:r>
      <w:r w:rsidRPr="00C01509">
        <w:rPr>
          <w:rFonts w:ascii="Times New Roman" w:hAnsi="Times New Roman" w:cs="Times New Roman"/>
          <w:sz w:val="28"/>
          <w:szCs w:val="28"/>
        </w:rPr>
        <w:t xml:space="preserve"> разъём компьютера</w:t>
      </w:r>
      <w:r>
        <w:rPr>
          <w:rFonts w:ascii="Times New Roman" w:hAnsi="Times New Roman" w:cs="Times New Roman"/>
          <w:sz w:val="28"/>
          <w:szCs w:val="28"/>
        </w:rPr>
        <w:t>, на котором требуется установка ППО.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2. Внутри цифрового носителя из папки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_2022» запустить файл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-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setup</w:t>
      </w:r>
      <w:r w:rsidRPr="00C01509">
        <w:rPr>
          <w:rFonts w:ascii="Times New Roman" w:hAnsi="Times New Roman" w:cs="Times New Roman"/>
          <w:sz w:val="28"/>
          <w:szCs w:val="28"/>
        </w:rPr>
        <w:t>.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C01509">
        <w:rPr>
          <w:rFonts w:ascii="Times New Roman" w:hAnsi="Times New Roman" w:cs="Times New Roman"/>
          <w:sz w:val="28"/>
          <w:szCs w:val="28"/>
        </w:rPr>
        <w:t>».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3. Далее в появившемся окне «Контроля учётных записей» необходимо нажать кнопку «Да», т. е.  разрешить приложению от неизвестного издателя вносить изменения на вашем устройстве. Дождаться завершения процесса извлечения файлов.</w:t>
      </w: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4. Далее в появившемся окне (рисунок 1) нажать кнопку «Далее».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7143" cy="3240000"/>
            <wp:effectExtent l="19050" t="0" r="4457" b="0"/>
            <wp:docPr id="2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Рисунок 1 – Графическое пояснение к этапу 4</w:t>
      </w: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5. В появившемся окне</w:t>
      </w:r>
      <w:r>
        <w:rPr>
          <w:rFonts w:ascii="Times New Roman" w:hAnsi="Times New Roman" w:cs="Times New Roman"/>
          <w:sz w:val="28"/>
          <w:szCs w:val="28"/>
        </w:rPr>
        <w:t xml:space="preserve"> через нажатие кнопки «Обзор» (рисунок 2) указать путь для установки ППО. После указания пути для установки нажать кнопку </w:t>
      </w:r>
      <w:r w:rsidRPr="00C01509">
        <w:rPr>
          <w:rFonts w:ascii="Times New Roman" w:hAnsi="Times New Roman" w:cs="Times New Roman"/>
          <w:sz w:val="28"/>
          <w:szCs w:val="28"/>
        </w:rPr>
        <w:t>«Далее»</w:t>
      </w:r>
      <w:r>
        <w:rPr>
          <w:rFonts w:ascii="Times New Roman" w:hAnsi="Times New Roman" w:cs="Times New Roman"/>
          <w:sz w:val="28"/>
          <w:szCs w:val="28"/>
        </w:rPr>
        <w:t xml:space="preserve"> (рисунок 2)</w:t>
      </w:r>
      <w:r w:rsidRPr="00C01509">
        <w:rPr>
          <w:rFonts w:ascii="Times New Roman" w:hAnsi="Times New Roman" w:cs="Times New Roman"/>
          <w:sz w:val="28"/>
          <w:szCs w:val="28"/>
        </w:rPr>
        <w:t>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76800" cy="2914649"/>
            <wp:effectExtent l="19050" t="0" r="4800" b="0"/>
            <wp:docPr id="4" name="Рисунок 9" descr="Выбор пут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 пути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800" cy="291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2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 появившемся окне нажать кнопку «Далее»</w:t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6800" cy="3237890"/>
            <wp:effectExtent l="19050" t="0" r="4800" b="0"/>
            <wp:docPr id="8" name="Рисунок 1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800" cy="32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 – Графическое пояснение к этапу 6</w:t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</w:t>
      </w:r>
      <w:r w:rsidRPr="00C01509">
        <w:rPr>
          <w:rFonts w:ascii="Times New Roman" w:hAnsi="Times New Roman" w:cs="Times New Roman"/>
          <w:sz w:val="28"/>
          <w:szCs w:val="28"/>
        </w:rPr>
        <w:t>. В появившемся окне нажать кнопку «Далее».</w:t>
      </w:r>
    </w:p>
    <w:p w:rsidR="00512708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7143" cy="3240000"/>
            <wp:effectExtent l="19050" t="0" r="4457" b="0"/>
            <wp:docPr id="20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C01509">
        <w:rPr>
          <w:rFonts w:ascii="Times New Roman" w:hAnsi="Times New Roman" w:cs="Times New Roman"/>
          <w:sz w:val="28"/>
          <w:szCs w:val="28"/>
        </w:rPr>
        <w:t>. Далее начинается процесс копирования файлов. На данном этапе появится окно установки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DirectX</w:t>
      </w:r>
      <w:r w:rsidRPr="00C015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5333" cy="2520000"/>
            <wp:effectExtent l="19050" t="0" r="0" b="0"/>
            <wp:docPr id="21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533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</w:t>
      </w:r>
      <w:r w:rsidRPr="00C01509">
        <w:rPr>
          <w:rFonts w:ascii="Times New Roman" w:hAnsi="Times New Roman" w:cs="Times New Roman"/>
          <w:sz w:val="28"/>
          <w:szCs w:val="28"/>
        </w:rPr>
        <w:t xml:space="preserve">. В окне, представленном на рисунке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C01509">
        <w:rPr>
          <w:rFonts w:ascii="Times New Roman" w:hAnsi="Times New Roman" w:cs="Times New Roman"/>
          <w:sz w:val="28"/>
          <w:szCs w:val="28"/>
        </w:rPr>
        <w:t xml:space="preserve"> необходимо подтвердить принятие условий соглашения и нажать кнопку «Далее».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C01509">
        <w:rPr>
          <w:rFonts w:ascii="Times New Roman" w:hAnsi="Times New Roman" w:cs="Times New Roman"/>
          <w:sz w:val="28"/>
          <w:szCs w:val="28"/>
        </w:rPr>
        <w:t>. В появившемся окне нажать кнопку «Далее».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7053" cy="2520000"/>
            <wp:effectExtent l="19050" t="0" r="8597" b="0"/>
            <wp:docPr id="22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705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C01509">
        <w:rPr>
          <w:rFonts w:ascii="Times New Roman" w:hAnsi="Times New Roman" w:cs="Times New Roman"/>
          <w:sz w:val="28"/>
          <w:szCs w:val="28"/>
        </w:rPr>
        <w:t xml:space="preserve">. Далее необходимо дождаться завершения процесса установки компонентов. После завершения процесса установки компонентов в появившемся окне (рисунок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C01509">
        <w:rPr>
          <w:rFonts w:ascii="Times New Roman" w:hAnsi="Times New Roman" w:cs="Times New Roman"/>
          <w:sz w:val="28"/>
          <w:szCs w:val="28"/>
        </w:rPr>
        <w:t>) нажать кнопку «Готово».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7950" cy="2520000"/>
            <wp:effectExtent l="19050" t="0" r="7700" b="0"/>
            <wp:docPr id="23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8795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C01509">
        <w:rPr>
          <w:rFonts w:ascii="Times New Roman" w:hAnsi="Times New Roman" w:cs="Times New Roman"/>
          <w:sz w:val="28"/>
          <w:szCs w:val="28"/>
        </w:rPr>
        <w:t xml:space="preserve"> - Графическое пояснение к этапу 1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BD53DB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lastRenderedPageBreak/>
        <w:t xml:space="preserve">12. На цифровом носителе, </w:t>
      </w:r>
      <w:r>
        <w:rPr>
          <w:rFonts w:ascii="Times New Roman" w:hAnsi="Times New Roman" w:cs="Times New Roman"/>
          <w:sz w:val="28"/>
          <w:szCs w:val="28"/>
        </w:rPr>
        <w:t xml:space="preserve">на котором записан программный симулятор стоек с ЧПУ, </w:t>
      </w:r>
      <w:r w:rsidRPr="00C01509">
        <w:rPr>
          <w:rFonts w:ascii="Times New Roman" w:hAnsi="Times New Roman" w:cs="Times New Roman"/>
          <w:sz w:val="28"/>
          <w:szCs w:val="28"/>
        </w:rPr>
        <w:t>необходимо скопировать все файлы из папки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251140">
        <w:rPr>
          <w:rFonts w:ascii="Times New Roman" w:hAnsi="Times New Roman" w:cs="Times New Roman"/>
          <w:sz w:val="28"/>
          <w:szCs w:val="28"/>
          <w:highlight w:val="green"/>
        </w:rPr>
        <w:t>Фрезерная обработка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0150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1509">
        <w:rPr>
          <w:rFonts w:ascii="Times New Roman" w:hAnsi="Times New Roman" w:cs="Times New Roman"/>
          <w:sz w:val="28"/>
          <w:szCs w:val="28"/>
        </w:rPr>
        <w:t>и вставить их «с заменой» в папку</w:t>
      </w:r>
      <w:r>
        <w:rPr>
          <w:rFonts w:ascii="Times New Roman" w:hAnsi="Times New Roman" w:cs="Times New Roman"/>
          <w:sz w:val="28"/>
          <w:szCs w:val="28"/>
        </w:rPr>
        <w:t>, путь к которой был указан на этапе номер 5.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13. Далее необходимо запустить на рабочем столе ярлык с названием «первый запуск 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_2022».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708">
        <w:rPr>
          <w:rFonts w:ascii="Times New Roman" w:hAnsi="Times New Roman" w:cs="Times New Roman"/>
          <w:sz w:val="28"/>
          <w:szCs w:val="28"/>
          <w:highlight w:val="red"/>
        </w:rPr>
        <w:t>14</w:t>
      </w:r>
      <w:r w:rsidRPr="00C01509">
        <w:rPr>
          <w:rFonts w:ascii="Times New Roman" w:hAnsi="Times New Roman" w:cs="Times New Roman"/>
          <w:sz w:val="28"/>
          <w:szCs w:val="28"/>
        </w:rPr>
        <w:t xml:space="preserve">. Появившееся окно будет </w:t>
      </w:r>
      <w:r>
        <w:rPr>
          <w:rFonts w:ascii="Times New Roman" w:hAnsi="Times New Roman" w:cs="Times New Roman"/>
          <w:sz w:val="28"/>
          <w:szCs w:val="28"/>
        </w:rPr>
        <w:t xml:space="preserve">отображать </w:t>
      </w:r>
      <w:r w:rsidRPr="00C01509">
        <w:rPr>
          <w:rFonts w:ascii="Times New Roman" w:hAnsi="Times New Roman" w:cs="Times New Roman"/>
          <w:sz w:val="28"/>
          <w:szCs w:val="28"/>
        </w:rPr>
        <w:t>код запроса на лицензию и область для ввода кода активации (рисунок 8).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35748" cy="1440000"/>
            <wp:effectExtent l="19050" t="0" r="7552" b="0"/>
            <wp:docPr id="24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357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Рисунок 8 – Графическое пояснение к этапу 14.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Для активации ППО необходимо скопировать код запроса на лицензию и отправить его на электронную почту </w:t>
      </w:r>
      <w:hyperlink r:id="rId12" w:history="1"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Lab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</w:rPr>
          <w:t>.228@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C01509">
        <w:rPr>
          <w:rFonts w:ascii="Times New Roman" w:hAnsi="Times New Roman" w:cs="Times New Roman"/>
          <w:sz w:val="28"/>
          <w:szCs w:val="28"/>
        </w:rPr>
        <w:t>. В ответном письме будет оправлен код активации, который необходимо скопировать и ввести в поле для ввода кода активации (рисунок 8). Далее необходимо нажать кнопку «Активировать» (рисунок 8). После завершения данного этапа на рабочем столе появится ярлык для запуска ППО под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5D0D">
        <w:rPr>
          <w:rFonts w:ascii="Times New Roman" w:hAnsi="Times New Roman" w:cs="Times New Roman"/>
          <w:sz w:val="28"/>
          <w:szCs w:val="28"/>
        </w:rPr>
        <w:t>фрезерную обработку</w:t>
      </w:r>
      <w:r w:rsidR="00495D0D">
        <w:rPr>
          <w:rFonts w:ascii="Times New Roman" w:hAnsi="Times New Roman" w:cs="Times New Roman"/>
          <w:sz w:val="28"/>
          <w:szCs w:val="28"/>
        </w:rPr>
        <w:t xml:space="preserve"> </w:t>
      </w:r>
      <w:r w:rsidR="00495D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6264" cy="504000"/>
            <wp:effectExtent l="19050" t="0" r="0" b="0"/>
            <wp:docPr id="1" name="Рисунок 0" descr="Ярлык на Фрезерное ПП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рлык на Фрезерное ППО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264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Установка ППО для </w:t>
      </w:r>
      <w:r w:rsidRPr="00251140">
        <w:rPr>
          <w:rFonts w:ascii="Times New Roman" w:hAnsi="Times New Roman" w:cs="Times New Roman"/>
          <w:sz w:val="28"/>
          <w:szCs w:val="28"/>
          <w:highlight w:val="green"/>
        </w:rPr>
        <w:t>токарной обработки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1. Установить цифровой носитель,</w:t>
      </w:r>
      <w:r>
        <w:rPr>
          <w:rFonts w:ascii="Times New Roman" w:hAnsi="Times New Roman" w:cs="Times New Roman"/>
          <w:sz w:val="28"/>
          <w:szCs w:val="28"/>
        </w:rPr>
        <w:t xml:space="preserve"> на котором записан программный симулятор стоек с ЧПУ</w:t>
      </w:r>
      <w:r w:rsidRPr="00C01509">
        <w:rPr>
          <w:rFonts w:ascii="Times New Roman" w:hAnsi="Times New Roman" w:cs="Times New Roman"/>
          <w:sz w:val="28"/>
          <w:szCs w:val="28"/>
        </w:rPr>
        <w:t xml:space="preserve">, в 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USB</w:t>
      </w:r>
      <w:r w:rsidRPr="00C01509">
        <w:rPr>
          <w:rFonts w:ascii="Times New Roman" w:hAnsi="Times New Roman" w:cs="Times New Roman"/>
          <w:sz w:val="28"/>
          <w:szCs w:val="28"/>
        </w:rPr>
        <w:t xml:space="preserve"> разъём компьютера</w:t>
      </w:r>
      <w:r>
        <w:rPr>
          <w:rFonts w:ascii="Times New Roman" w:hAnsi="Times New Roman" w:cs="Times New Roman"/>
          <w:sz w:val="28"/>
          <w:szCs w:val="28"/>
        </w:rPr>
        <w:t>, на котором требуется установка ППО.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2. Внутри цифрового носителя из папки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_2022» запустить файл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-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setup</w:t>
      </w:r>
      <w:r w:rsidRPr="00C01509">
        <w:rPr>
          <w:rFonts w:ascii="Times New Roman" w:hAnsi="Times New Roman" w:cs="Times New Roman"/>
          <w:sz w:val="28"/>
          <w:szCs w:val="28"/>
        </w:rPr>
        <w:t>.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C01509">
        <w:rPr>
          <w:rFonts w:ascii="Times New Roman" w:hAnsi="Times New Roman" w:cs="Times New Roman"/>
          <w:sz w:val="28"/>
          <w:szCs w:val="28"/>
        </w:rPr>
        <w:t>».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3. Далее в появившемся окне «Контроля учётных записей» необходимо нажать кнопку «Да», т. е.  разрешить приложению от неизвестного издателя вносить изменения на вашем устройстве. Дождаться завершения процесса извлечения файлов.</w:t>
      </w: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4. Далее в появившемся окне (рисунок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1509">
        <w:rPr>
          <w:rFonts w:ascii="Times New Roman" w:hAnsi="Times New Roman" w:cs="Times New Roman"/>
          <w:sz w:val="28"/>
          <w:szCs w:val="28"/>
        </w:rPr>
        <w:t>) нажать кнопку «Далее».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48000" cy="3219938"/>
            <wp:effectExtent l="19050" t="0" r="0" b="0"/>
            <wp:docPr id="2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21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4</w:t>
      </w: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>5. В появившемся окне</w:t>
      </w:r>
      <w:r>
        <w:rPr>
          <w:rFonts w:ascii="Times New Roman" w:hAnsi="Times New Roman" w:cs="Times New Roman"/>
          <w:sz w:val="28"/>
          <w:szCs w:val="28"/>
        </w:rPr>
        <w:t xml:space="preserve"> через нажатие кнопки «Обзор» (рисунок 10) указать путь для установки ППО. После указания пути для установки нажать кнопку </w:t>
      </w:r>
      <w:r w:rsidRPr="00C01509">
        <w:rPr>
          <w:rFonts w:ascii="Times New Roman" w:hAnsi="Times New Roman" w:cs="Times New Roman"/>
          <w:sz w:val="28"/>
          <w:szCs w:val="28"/>
        </w:rPr>
        <w:t>«Далее»</w:t>
      </w:r>
      <w:r>
        <w:rPr>
          <w:rFonts w:ascii="Times New Roman" w:hAnsi="Times New Roman" w:cs="Times New Roman"/>
          <w:sz w:val="28"/>
          <w:szCs w:val="28"/>
        </w:rPr>
        <w:t xml:space="preserve"> (рисунок 10)</w:t>
      </w:r>
      <w:r w:rsidRPr="00C01509">
        <w:rPr>
          <w:rFonts w:ascii="Times New Roman" w:hAnsi="Times New Roman" w:cs="Times New Roman"/>
          <w:sz w:val="28"/>
          <w:szCs w:val="28"/>
        </w:rPr>
        <w:t>.</w:t>
      </w:r>
    </w:p>
    <w:p w:rsidR="00512708" w:rsidRPr="00512708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2708">
        <w:rPr>
          <w:rFonts w:ascii="Times New Roman" w:hAnsi="Times New Roman" w:cs="Times New Roman"/>
          <w:i/>
          <w:sz w:val="28"/>
          <w:szCs w:val="28"/>
          <w:u w:val="single"/>
        </w:rPr>
        <w:t>Примечание:</w:t>
      </w:r>
      <w:r>
        <w:rPr>
          <w:rFonts w:ascii="Times New Roman" w:hAnsi="Times New Roman" w:cs="Times New Roman"/>
          <w:sz w:val="28"/>
          <w:szCs w:val="28"/>
        </w:rPr>
        <w:t xml:space="preserve"> в случае установки на один персональный компьютер одновременно как симулятора </w:t>
      </w:r>
      <w:r w:rsidRPr="00512708">
        <w:rPr>
          <w:rFonts w:ascii="Times New Roman" w:hAnsi="Times New Roman" w:cs="Times New Roman"/>
          <w:sz w:val="28"/>
          <w:szCs w:val="28"/>
          <w:highlight w:val="green"/>
        </w:rPr>
        <w:t>токарной обработки</w:t>
      </w:r>
      <w:r>
        <w:rPr>
          <w:rFonts w:ascii="Times New Roman" w:hAnsi="Times New Roman" w:cs="Times New Roman"/>
          <w:sz w:val="28"/>
          <w:szCs w:val="28"/>
        </w:rPr>
        <w:t xml:space="preserve">, так и симулятора </w:t>
      </w:r>
      <w:r w:rsidRPr="00512708">
        <w:rPr>
          <w:rFonts w:ascii="Times New Roman" w:hAnsi="Times New Roman" w:cs="Times New Roman"/>
          <w:sz w:val="28"/>
          <w:szCs w:val="28"/>
          <w:highlight w:val="green"/>
        </w:rPr>
        <w:t>фрезерной обработки</w:t>
      </w:r>
      <w:r>
        <w:rPr>
          <w:rFonts w:ascii="Times New Roman" w:hAnsi="Times New Roman" w:cs="Times New Roman"/>
          <w:sz w:val="28"/>
          <w:szCs w:val="28"/>
        </w:rPr>
        <w:t xml:space="preserve"> необходимо указывать различные пути установки. Т. е для симулятора </w:t>
      </w:r>
      <w:r w:rsidRPr="00512708">
        <w:rPr>
          <w:rFonts w:ascii="Times New Roman" w:hAnsi="Times New Roman" w:cs="Times New Roman"/>
          <w:sz w:val="28"/>
          <w:szCs w:val="28"/>
          <w:highlight w:val="green"/>
        </w:rPr>
        <w:t>токарной обработки</w:t>
      </w:r>
      <w:r>
        <w:rPr>
          <w:rFonts w:ascii="Times New Roman" w:hAnsi="Times New Roman" w:cs="Times New Roman"/>
          <w:sz w:val="28"/>
          <w:szCs w:val="28"/>
        </w:rPr>
        <w:t xml:space="preserve"> один путь, а для симулятора </w:t>
      </w:r>
      <w:r w:rsidRPr="00512708">
        <w:rPr>
          <w:rFonts w:ascii="Times New Roman" w:hAnsi="Times New Roman" w:cs="Times New Roman"/>
          <w:sz w:val="28"/>
          <w:szCs w:val="28"/>
          <w:highlight w:val="green"/>
        </w:rPr>
        <w:t>фрезерной обработки</w:t>
      </w:r>
      <w:r>
        <w:rPr>
          <w:rFonts w:ascii="Times New Roman" w:hAnsi="Times New Roman" w:cs="Times New Roman"/>
          <w:sz w:val="28"/>
          <w:szCs w:val="28"/>
        </w:rPr>
        <w:t xml:space="preserve"> другой путь. </w:t>
      </w:r>
    </w:p>
    <w:p w:rsidR="00512708" w:rsidRPr="00C01509" w:rsidRDefault="00512708" w:rsidP="005127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48000" cy="2898236"/>
            <wp:effectExtent l="19050" t="0" r="0" b="0"/>
            <wp:docPr id="26" name="Рисунок 9" descr="Выбор пут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 пути (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89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512708" w:rsidRDefault="00512708" w:rsidP="00512708">
      <w:pPr>
        <w:tabs>
          <w:tab w:val="left" w:pos="3990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6. В появившемся окне нажать кнопку «Далее»</w:t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6800" cy="3237890"/>
            <wp:effectExtent l="19050" t="0" r="4800" b="0"/>
            <wp:docPr id="27" name="Рисунок 1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800" cy="32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11 – Графическое пояснение к этапу 6</w:t>
      </w:r>
    </w:p>
    <w:p w:rsidR="00512708" w:rsidRPr="00C01509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C01509">
        <w:rPr>
          <w:rFonts w:ascii="Times New Roman" w:hAnsi="Times New Roman" w:cs="Times New Roman"/>
          <w:sz w:val="28"/>
          <w:szCs w:val="28"/>
        </w:rPr>
        <w:t>. В появившемся окне нажать кнопку «Далее».</w:t>
      </w:r>
    </w:p>
    <w:p w:rsidR="00512708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399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7143" cy="3240000"/>
            <wp:effectExtent l="19050" t="0" r="4457" b="0"/>
            <wp:docPr id="28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399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Pr="00C01509">
        <w:rPr>
          <w:rFonts w:ascii="Times New Roman" w:hAnsi="Times New Roman" w:cs="Times New Roman"/>
          <w:sz w:val="28"/>
          <w:szCs w:val="28"/>
        </w:rPr>
        <w:t>. Далее начинается процесс копирования файлов. На данном этапе появится окно установки «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DirectX</w:t>
      </w:r>
      <w:r w:rsidRPr="00C015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5333" cy="2520000"/>
            <wp:effectExtent l="19050" t="0" r="0" b="0"/>
            <wp:docPr id="29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533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C01509">
        <w:rPr>
          <w:rFonts w:ascii="Times New Roman" w:hAnsi="Times New Roman" w:cs="Times New Roman"/>
          <w:sz w:val="28"/>
          <w:szCs w:val="28"/>
        </w:rPr>
        <w:t xml:space="preserve">. В окне, представленном на рисунке </w:t>
      </w:r>
      <w:r>
        <w:rPr>
          <w:rFonts w:ascii="Times New Roman" w:hAnsi="Times New Roman" w:cs="Times New Roman"/>
          <w:sz w:val="28"/>
          <w:szCs w:val="28"/>
        </w:rPr>
        <w:t xml:space="preserve">13 </w:t>
      </w:r>
      <w:r w:rsidRPr="00C01509">
        <w:rPr>
          <w:rFonts w:ascii="Times New Roman" w:hAnsi="Times New Roman" w:cs="Times New Roman"/>
          <w:sz w:val="28"/>
          <w:szCs w:val="28"/>
        </w:rPr>
        <w:t>необходимо подтвердить принятие условий соглашения и нажать кнопку «Далее».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C01509">
        <w:rPr>
          <w:rFonts w:ascii="Times New Roman" w:hAnsi="Times New Roman" w:cs="Times New Roman"/>
          <w:sz w:val="28"/>
          <w:szCs w:val="28"/>
        </w:rPr>
        <w:t>. В появившемся окне нажать кнопку «Далее».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7053" cy="2520000"/>
            <wp:effectExtent l="19050" t="0" r="8597" b="0"/>
            <wp:docPr id="30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705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lastRenderedPageBreak/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C01509">
        <w:rPr>
          <w:rFonts w:ascii="Times New Roman" w:hAnsi="Times New Roman" w:cs="Times New Roman"/>
          <w:sz w:val="28"/>
          <w:szCs w:val="28"/>
        </w:rPr>
        <w:t xml:space="preserve">. Далее необходимо дождаться завершения процесса установки компонентов. После завершения процесса установки компонентов в появившемся окне (рисунок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C01509">
        <w:rPr>
          <w:rFonts w:ascii="Times New Roman" w:hAnsi="Times New Roman" w:cs="Times New Roman"/>
          <w:sz w:val="28"/>
          <w:szCs w:val="28"/>
        </w:rPr>
        <w:t>) нажать кнопку «Готово».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7950" cy="2520000"/>
            <wp:effectExtent l="19050" t="0" r="7700" b="0"/>
            <wp:docPr id="31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8795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C01509">
        <w:rPr>
          <w:rFonts w:ascii="Times New Roman" w:hAnsi="Times New Roman" w:cs="Times New Roman"/>
          <w:sz w:val="28"/>
          <w:szCs w:val="28"/>
        </w:rPr>
        <w:t xml:space="preserve"> - Графическое пояснение к этапу 1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Pr="00BD53DB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12. На цифровом носителе, </w:t>
      </w:r>
      <w:r>
        <w:rPr>
          <w:rFonts w:ascii="Times New Roman" w:hAnsi="Times New Roman" w:cs="Times New Roman"/>
          <w:sz w:val="28"/>
          <w:szCs w:val="28"/>
        </w:rPr>
        <w:t xml:space="preserve">на котором записан программный симулятор стоек с ЧПУ, </w:t>
      </w:r>
      <w:r w:rsidRPr="00C01509">
        <w:rPr>
          <w:rFonts w:ascii="Times New Roman" w:hAnsi="Times New Roman" w:cs="Times New Roman"/>
          <w:sz w:val="28"/>
          <w:szCs w:val="28"/>
        </w:rPr>
        <w:t>необходимо скопировать все файлы из папки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A97552">
        <w:rPr>
          <w:rFonts w:ascii="Times New Roman" w:hAnsi="Times New Roman" w:cs="Times New Roman"/>
          <w:sz w:val="28"/>
          <w:szCs w:val="28"/>
          <w:highlight w:val="green"/>
        </w:rPr>
        <w:t>Токарная обработка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C01509">
        <w:rPr>
          <w:rFonts w:ascii="Times New Roman" w:hAnsi="Times New Roman" w:cs="Times New Roman"/>
          <w:sz w:val="28"/>
          <w:szCs w:val="28"/>
        </w:rPr>
        <w:t>и вставить их «с заменой» в папку</w:t>
      </w:r>
      <w:r>
        <w:rPr>
          <w:rFonts w:ascii="Times New Roman" w:hAnsi="Times New Roman" w:cs="Times New Roman"/>
          <w:sz w:val="28"/>
          <w:szCs w:val="28"/>
        </w:rPr>
        <w:t>, путь к которой был указан на этапе номер 5.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13. Далее необходимо запустить на рабочем столе ярлык с названием «первый запуск </w:t>
      </w:r>
      <w:r w:rsidRPr="00C01509">
        <w:rPr>
          <w:rFonts w:ascii="Times New Roman" w:hAnsi="Times New Roman" w:cs="Times New Roman"/>
          <w:sz w:val="28"/>
          <w:szCs w:val="28"/>
          <w:lang w:val="en-US"/>
        </w:rPr>
        <w:t>STEPPER</w:t>
      </w:r>
      <w:r w:rsidRPr="00C01509">
        <w:rPr>
          <w:rFonts w:ascii="Times New Roman" w:hAnsi="Times New Roman" w:cs="Times New Roman"/>
          <w:sz w:val="28"/>
          <w:szCs w:val="28"/>
        </w:rPr>
        <w:t>_2022».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14. Появившееся окно будет </w:t>
      </w:r>
      <w:r>
        <w:rPr>
          <w:rFonts w:ascii="Times New Roman" w:hAnsi="Times New Roman" w:cs="Times New Roman"/>
          <w:sz w:val="28"/>
          <w:szCs w:val="28"/>
        </w:rPr>
        <w:t xml:space="preserve">отображать </w:t>
      </w:r>
      <w:r w:rsidRPr="00C01509">
        <w:rPr>
          <w:rFonts w:ascii="Times New Roman" w:hAnsi="Times New Roman" w:cs="Times New Roman"/>
          <w:sz w:val="28"/>
          <w:szCs w:val="28"/>
        </w:rPr>
        <w:t xml:space="preserve">код запроса на лицензию и область для ввода кода активации (рисунок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C01509">
        <w:rPr>
          <w:rFonts w:ascii="Times New Roman" w:hAnsi="Times New Roman" w:cs="Times New Roman"/>
          <w:sz w:val="28"/>
          <w:szCs w:val="28"/>
        </w:rPr>
        <w:t>).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35748" cy="1440000"/>
            <wp:effectExtent l="19050" t="0" r="7552" b="0"/>
            <wp:docPr id="32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357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C01509">
        <w:rPr>
          <w:rFonts w:ascii="Times New Roman" w:hAnsi="Times New Roman" w:cs="Times New Roman"/>
          <w:sz w:val="28"/>
          <w:szCs w:val="28"/>
        </w:rPr>
        <w:t xml:space="preserve"> – Графическое пояснение к этапу 14.</w:t>
      </w:r>
    </w:p>
    <w:p w:rsidR="00512708" w:rsidRPr="00C01509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509">
        <w:rPr>
          <w:rFonts w:ascii="Times New Roman" w:hAnsi="Times New Roman" w:cs="Times New Roman"/>
          <w:sz w:val="28"/>
          <w:szCs w:val="28"/>
        </w:rPr>
        <w:t xml:space="preserve">Для активации ППО необходимо скопировать код запроса на лицензию и отправить его на электронную почту </w:t>
      </w:r>
      <w:hyperlink r:id="rId16" w:history="1"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Lab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</w:rPr>
          <w:t>.228@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C01509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C01509">
        <w:rPr>
          <w:rFonts w:ascii="Times New Roman" w:hAnsi="Times New Roman" w:cs="Times New Roman"/>
          <w:sz w:val="28"/>
          <w:szCs w:val="28"/>
        </w:rPr>
        <w:t xml:space="preserve">. В ответном письме будет оправлен код активации, который необходимо скопировать и ввести в поле для ввода кода активации (рисунок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C01509">
        <w:rPr>
          <w:rFonts w:ascii="Times New Roman" w:hAnsi="Times New Roman" w:cs="Times New Roman"/>
          <w:sz w:val="28"/>
          <w:szCs w:val="28"/>
        </w:rPr>
        <w:t xml:space="preserve">). Далее необходимо нажать кнопку </w:t>
      </w:r>
      <w:r w:rsidRPr="00C01509">
        <w:rPr>
          <w:rFonts w:ascii="Times New Roman" w:hAnsi="Times New Roman" w:cs="Times New Roman"/>
          <w:sz w:val="28"/>
          <w:szCs w:val="28"/>
        </w:rPr>
        <w:lastRenderedPageBreak/>
        <w:t xml:space="preserve">«Активировать» (рисунок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C01509">
        <w:rPr>
          <w:rFonts w:ascii="Times New Roman" w:hAnsi="Times New Roman" w:cs="Times New Roman"/>
          <w:sz w:val="28"/>
          <w:szCs w:val="28"/>
        </w:rPr>
        <w:t>). После завершения данного этапа на рабочем столе появится ярлык для запуска ППО под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7552">
        <w:rPr>
          <w:rFonts w:ascii="Times New Roman" w:hAnsi="Times New Roman" w:cs="Times New Roman"/>
          <w:sz w:val="28"/>
          <w:szCs w:val="28"/>
          <w:highlight w:val="green"/>
        </w:rPr>
        <w:t>токарную обработку</w:t>
      </w:r>
      <w:r w:rsidR="00B65669">
        <w:rPr>
          <w:rFonts w:ascii="Times New Roman" w:hAnsi="Times New Roman" w:cs="Times New Roman"/>
          <w:sz w:val="28"/>
          <w:szCs w:val="28"/>
        </w:rPr>
        <w:t xml:space="preserve"> </w:t>
      </w:r>
      <w:r w:rsidR="00B6566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6706" cy="504000"/>
            <wp:effectExtent l="19050" t="0" r="6694" b="0"/>
            <wp:docPr id="3" name="Рисунок 2" descr="Ярлык на Токарное ПП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рлык на Токарное ППО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06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708" w:rsidRDefault="00512708" w:rsidP="00512708">
      <w:pPr>
        <w:tabs>
          <w:tab w:val="left" w:pos="0"/>
        </w:tabs>
        <w:spacing w:after="0"/>
        <w:ind w:firstLine="709"/>
        <w:jc w:val="both"/>
      </w:pPr>
      <w:r w:rsidRPr="00C01509">
        <w:rPr>
          <w:rFonts w:ascii="Times New Roman" w:hAnsi="Times New Roman" w:cs="Times New Roman"/>
          <w:sz w:val="28"/>
          <w:szCs w:val="28"/>
        </w:rPr>
        <w:t>По возникшим вопросам звонить +7 (351) 267 97 19.</w:t>
      </w:r>
    </w:p>
    <w:sectPr w:rsidR="00512708" w:rsidSect="00512708">
      <w:pgSz w:w="11906" w:h="16838"/>
      <w:pgMar w:top="964" w:right="964" w:bottom="96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708"/>
    <w:rsid w:val="0000514C"/>
    <w:rsid w:val="002333C6"/>
    <w:rsid w:val="00495D0D"/>
    <w:rsid w:val="00512708"/>
    <w:rsid w:val="00601D4C"/>
    <w:rsid w:val="00B65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5A2F7"/>
  <w15:docId w15:val="{E232B28C-29AB-4D66-A927-5F134212C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051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1270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127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27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mailto:Lab.228@mail.ru" TargetMode="External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hyperlink" Target="mailto:Lab.228@mail.ru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899</Words>
  <Characters>5129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Никита Голубчиков</cp:lastModifiedBy>
  <cp:revision>2</cp:revision>
  <dcterms:created xsi:type="dcterms:W3CDTF">2023-01-25T10:48:00Z</dcterms:created>
  <dcterms:modified xsi:type="dcterms:W3CDTF">2023-01-25T10:48:00Z</dcterms:modified>
</cp:coreProperties>
</file>